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D4DC" w14:textId="020E7F76" w:rsidR="00696E7E" w:rsidRDefault="00B65ADE">
      <w:r w:rsidRPr="004B3618">
        <w:rPr>
          <w:noProof/>
        </w:rPr>
        <w:drawing>
          <wp:anchor distT="0" distB="0" distL="114300" distR="114300" simplePos="0" relativeHeight="251660288" behindDoc="1" locked="0" layoutInCell="1" allowOverlap="1" wp14:anchorId="7C380115" wp14:editId="04F0E233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528955" cy="508000"/>
            <wp:effectExtent l="0" t="0" r="4445" b="6350"/>
            <wp:wrapTight wrapText="bothSides">
              <wp:wrapPolygon edited="0">
                <wp:start x="8557" y="0"/>
                <wp:lineTo x="2334" y="1620"/>
                <wp:lineTo x="0" y="10530"/>
                <wp:lineTo x="778" y="16200"/>
                <wp:lineTo x="3890" y="20250"/>
                <wp:lineTo x="6223" y="21060"/>
                <wp:lineTo x="13224" y="21060"/>
                <wp:lineTo x="15558" y="20250"/>
                <wp:lineTo x="21004" y="15390"/>
                <wp:lineTo x="21004" y="7290"/>
                <wp:lineTo x="17114" y="1620"/>
                <wp:lineTo x="12447" y="0"/>
                <wp:lineTo x="855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7E" w:rsidRPr="00F11D5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B428F0" wp14:editId="426003FD">
            <wp:simplePos x="0" y="0"/>
            <wp:positionH relativeFrom="column">
              <wp:posOffset>956522</wp:posOffset>
            </wp:positionH>
            <wp:positionV relativeFrom="paragraph">
              <wp:posOffset>3598</wp:posOffset>
            </wp:positionV>
            <wp:extent cx="1054335" cy="488476"/>
            <wp:effectExtent l="0" t="0" r="0" b="0"/>
            <wp:wrapTight wrapText="bothSides">
              <wp:wrapPolygon edited="0">
                <wp:start x="0" y="0"/>
                <wp:lineTo x="0" y="20785"/>
                <wp:lineTo x="21340" y="20785"/>
                <wp:lineTo x="213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35" cy="4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07D6" w14:textId="651BA510" w:rsidR="00696E7E" w:rsidRPr="00EA407D" w:rsidRDefault="00DE098E" w:rsidP="00B65ADE">
      <w:pPr>
        <w:pStyle w:val="NoSpacing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QUICK REFERENCE LEARNING POINTS FROM HARROW SAFEGUARDING PARTNERSHIP’S </w:t>
      </w:r>
      <w:r w:rsidR="00A77467">
        <w:rPr>
          <w:rFonts w:ascii="Arial" w:hAnsi="Arial" w:cs="Arial"/>
          <w:b/>
          <w:bCs/>
        </w:rPr>
        <w:t>SAFEGUARDING ADULT REVIEW</w:t>
      </w:r>
    </w:p>
    <w:p w14:paraId="19544739" w14:textId="0C44F2DA" w:rsidR="00696E7E" w:rsidRPr="0090673E" w:rsidRDefault="00696E7E" w:rsidP="00696E7E">
      <w:pPr>
        <w:pStyle w:val="NoSpacing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F8655C" w14:textId="53EF6A3E" w:rsidR="00696E7E" w:rsidRPr="0090673E" w:rsidRDefault="00F74241" w:rsidP="00696E7E">
      <w:pPr>
        <w:pStyle w:val="NoSpacing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414654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8095" wp14:editId="078EA45D">
                <wp:simplePos x="0" y="0"/>
                <wp:positionH relativeFrom="column">
                  <wp:posOffset>-812800</wp:posOffset>
                </wp:positionH>
                <wp:positionV relativeFrom="paragraph">
                  <wp:posOffset>219075</wp:posOffset>
                </wp:positionV>
                <wp:extent cx="506730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6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B035A" w14:textId="77777777" w:rsidR="0023749E" w:rsidRPr="0092478E" w:rsidRDefault="0023749E" w:rsidP="00237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92478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Background</w:t>
                            </w:r>
                          </w:p>
                          <w:p w14:paraId="2D4C7208" w14:textId="65BFF581" w:rsidR="0023749E" w:rsidRPr="00696E7E" w:rsidRDefault="0023749E" w:rsidP="0023749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Safeguarding Partnership’s Case Review Group carried out a safeguarding adult review a review into a case following the death of a 46</w:t>
                            </w:r>
                            <w:r w:rsidR="00CC204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696E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  <w:r w:rsidR="00CC204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-o</w:t>
                            </w:r>
                            <w:r w:rsidRPr="00696E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ld woman (A) who </w:t>
                            </w:r>
                          </w:p>
                          <w:p w14:paraId="68BF6AAE" w14:textId="77777777" w:rsidR="0023749E" w:rsidRPr="00696E7E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Was the victim of a hoarding disorder</w:t>
                            </w:r>
                          </w:p>
                          <w:p w14:paraId="126C83E2" w14:textId="77777777" w:rsidR="0023749E" w:rsidRPr="00696E7E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Was resistant to offers of help and support</w:t>
                            </w:r>
                          </w:p>
                          <w:p w14:paraId="680C3371" w14:textId="146DB157" w:rsidR="0023749E" w:rsidRPr="00696E7E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Adopted a particularly </w:t>
                            </w:r>
                            <w:r w:rsidR="00183DB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strict</w:t>
                            </w: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diet of raw veganism</w:t>
                            </w:r>
                          </w:p>
                          <w:p w14:paraId="371E54B0" w14:textId="77777777" w:rsidR="0023749E" w:rsidRPr="00696E7E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Electively home educated her children (they were 21 and 30 at the time of her death)</w:t>
                            </w:r>
                          </w:p>
                          <w:p w14:paraId="21A3A73A" w14:textId="77777777" w:rsidR="0023749E" w:rsidRPr="00696E7E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Was cared for by her children who acted as young carers</w:t>
                            </w:r>
                          </w:p>
                          <w:p w14:paraId="1E5313E5" w14:textId="77777777" w:rsidR="0023749E" w:rsidRPr="001F0FED" w:rsidRDefault="0023749E" w:rsidP="00237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Along with her children had many perplexing medical conditions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2EF807" w14:textId="77777777" w:rsidR="0023749E" w:rsidRPr="00414654" w:rsidRDefault="0023749E" w:rsidP="002374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46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EE1B74" w14:textId="77777777" w:rsidR="0023749E" w:rsidRDefault="0023749E" w:rsidP="0023749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A0152B" w14:textId="77777777" w:rsidR="0023749E" w:rsidRDefault="0023749E" w:rsidP="0023749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58FF45" w14:textId="77777777" w:rsidR="0023749E" w:rsidRPr="006555C2" w:rsidRDefault="0023749E" w:rsidP="002374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8095" id="Rectangle 1" o:spid="_x0000_s1026" style="position:absolute;left:0;text-align:left;margin-left:-64pt;margin-top:17.25pt;width:39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" fillcolor="#fff2cc [663]" strokecolor="#2f528f" strokeweight="1pt">
                <v:textbox>
                  <w:txbxContent>
                    <w:p w14:paraId="5ECB035A" w14:textId="77777777" w:rsidR="0023749E" w:rsidRPr="0092478E" w:rsidRDefault="0023749E" w:rsidP="002374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92478E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Background</w:t>
                      </w:r>
                    </w:p>
                    <w:p w14:paraId="2D4C7208" w14:textId="65BFF581" w:rsidR="0023749E" w:rsidRPr="00696E7E" w:rsidRDefault="0023749E" w:rsidP="0023749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Safeguarding Partnership’s Case Review Group carried out a safeguarding adult review a review into a case following the death of a 46</w:t>
                      </w:r>
                      <w:r w:rsidR="00CC204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696E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year</w:t>
                      </w:r>
                      <w:r w:rsidR="00CC204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-o</w:t>
                      </w:r>
                      <w:r w:rsidRPr="00696E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ld woman (A) who </w:t>
                      </w:r>
                    </w:p>
                    <w:p w14:paraId="68BF6AAE" w14:textId="77777777" w:rsidR="0023749E" w:rsidRPr="00696E7E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Was the victim of a hoarding disorder</w:t>
                      </w:r>
                    </w:p>
                    <w:p w14:paraId="126C83E2" w14:textId="77777777" w:rsidR="0023749E" w:rsidRPr="00696E7E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Was resistant to offers of help and support</w:t>
                      </w:r>
                    </w:p>
                    <w:p w14:paraId="680C3371" w14:textId="146DB157" w:rsidR="0023749E" w:rsidRPr="00696E7E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Adopted a particularly </w:t>
                      </w:r>
                      <w:r w:rsidR="00183DB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strict</w:t>
                      </w: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diet of raw veganism</w:t>
                      </w:r>
                    </w:p>
                    <w:p w14:paraId="371E54B0" w14:textId="77777777" w:rsidR="0023749E" w:rsidRPr="00696E7E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Electively home educated her children (they were 21 and 30 at the time of her death)</w:t>
                      </w:r>
                    </w:p>
                    <w:p w14:paraId="21A3A73A" w14:textId="77777777" w:rsidR="0023749E" w:rsidRPr="00696E7E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Was cared for by her children who acted as young carers</w:t>
                      </w:r>
                    </w:p>
                    <w:p w14:paraId="1E5313E5" w14:textId="77777777" w:rsidR="0023749E" w:rsidRPr="001F0FED" w:rsidRDefault="0023749E" w:rsidP="00237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96E7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Along with her children had many perplexing medical conditions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42EF807" w14:textId="77777777" w:rsidR="0023749E" w:rsidRPr="00414654" w:rsidRDefault="0023749E" w:rsidP="002374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46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8EE1B74" w14:textId="77777777" w:rsidR="0023749E" w:rsidRDefault="0023749E" w:rsidP="0023749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1A0152B" w14:textId="77777777" w:rsidR="0023749E" w:rsidRDefault="0023749E" w:rsidP="0023749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58FF45" w14:textId="77777777" w:rsidR="0023749E" w:rsidRPr="006555C2" w:rsidRDefault="0023749E" w:rsidP="0023749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6E7E" w:rsidRPr="0090673E">
        <w:rPr>
          <w:rFonts w:cstheme="minorHAnsi"/>
          <w:b/>
          <w:bCs/>
          <w:color w:val="0070C0"/>
          <w:sz w:val="24"/>
          <w:szCs w:val="24"/>
        </w:rPr>
        <w:t>Learning about hoarding and resistant service users, elective home educat</w:t>
      </w:r>
      <w:r w:rsidR="00B65C38" w:rsidRPr="0090673E">
        <w:rPr>
          <w:rFonts w:cstheme="minorHAnsi"/>
          <w:b/>
          <w:bCs/>
          <w:color w:val="0070C0"/>
          <w:sz w:val="24"/>
          <w:szCs w:val="24"/>
        </w:rPr>
        <w:t xml:space="preserve">ion and </w:t>
      </w:r>
      <w:r w:rsidR="00696E7E" w:rsidRPr="0090673E">
        <w:rPr>
          <w:rFonts w:cstheme="minorHAnsi"/>
          <w:b/>
          <w:bCs/>
          <w:color w:val="0070C0"/>
          <w:sz w:val="24"/>
          <w:szCs w:val="24"/>
        </w:rPr>
        <w:t>young carers and p</w:t>
      </w:r>
      <w:r w:rsidR="00B65C38" w:rsidRPr="0090673E">
        <w:rPr>
          <w:rFonts w:cstheme="minorHAnsi"/>
          <w:b/>
          <w:bCs/>
          <w:color w:val="0070C0"/>
          <w:sz w:val="24"/>
          <w:szCs w:val="24"/>
        </w:rPr>
        <w:t>otential</w:t>
      </w:r>
      <w:r w:rsidR="00696E7E" w:rsidRPr="0090673E">
        <w:rPr>
          <w:rFonts w:cstheme="minorHAnsi"/>
          <w:b/>
          <w:bCs/>
          <w:color w:val="0070C0"/>
          <w:sz w:val="24"/>
          <w:szCs w:val="24"/>
        </w:rPr>
        <w:t xml:space="preserve"> perplexing presentations</w:t>
      </w:r>
    </w:p>
    <w:p w14:paraId="61023463" w14:textId="4E55E9AD" w:rsidR="00696E7E" w:rsidRDefault="006F279B" w:rsidP="00696E7E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DEE84" wp14:editId="7E08326B">
                <wp:simplePos x="0" y="0"/>
                <wp:positionH relativeFrom="column">
                  <wp:posOffset>4240953</wp:posOffset>
                </wp:positionH>
                <wp:positionV relativeFrom="paragraph">
                  <wp:posOffset>3175</wp:posOffset>
                </wp:positionV>
                <wp:extent cx="5365115" cy="1946910"/>
                <wp:effectExtent l="0" t="0" r="2603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1946910"/>
                        </a:xfrm>
                        <a:prstGeom prst="rect">
                          <a:avLst/>
                        </a:prstGeom>
                        <a:solidFill>
                          <a:srgbClr val="FF61F6">
                            <a:alpha val="18431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35222" w14:textId="41E49A78" w:rsidR="00BD2954" w:rsidRDefault="00BD2954" w:rsidP="00BD29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Hoarding Hygiene and Gas Safety</w:t>
                            </w:r>
                          </w:p>
                          <w:p w14:paraId="7A06CF26" w14:textId="483F698C" w:rsidR="00BD2954" w:rsidRDefault="00BD2954" w:rsidP="00BD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29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developed a progressive hoarding disorder. Her accommodation was also reported by neighbours as verminous. Environmental services, her landlord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carry out a gas safety check) and </w:t>
                            </w:r>
                            <w:r w:rsidR="0008182E">
                              <w:rPr>
                                <w:sz w:val="20"/>
                                <w:szCs w:val="20"/>
                              </w:rPr>
                              <w:t>the fire brigade wanted to access A’s property at much the same time as Harrow Council wanted access to A to assess her capacity.</w:t>
                            </w:r>
                          </w:p>
                          <w:p w14:paraId="22F7CBE7" w14:textId="60ABDC8E" w:rsidR="0008182E" w:rsidRPr="00EA407D" w:rsidRDefault="0008182E" w:rsidP="00F74241">
                            <w:pPr>
                              <w:pStyle w:val="NoSpacing"/>
                            </w:pPr>
                          </w:p>
                          <w:p w14:paraId="3C391465" w14:textId="7ABA65C2" w:rsidR="0008182E" w:rsidRPr="00EA407D" w:rsidRDefault="0008182E" w:rsidP="00BD2954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There resulted a lack of clarity in how to act as a partnership. These are all difficult issues and more join up would have improved the response</w:t>
                            </w:r>
                            <w:r w:rsidR="00F74241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, including holding professional meetings to share information and agree a plan.</w:t>
                            </w:r>
                          </w:p>
                          <w:p w14:paraId="33173B76" w14:textId="1D50E547" w:rsidR="0008182E" w:rsidRPr="00EA407D" w:rsidRDefault="0008182E" w:rsidP="00BD2954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37897BE" w14:textId="56C0683D" w:rsidR="0008182E" w:rsidRPr="00EA407D" w:rsidRDefault="0008182E" w:rsidP="00BD2954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We need to better understand how to manage hoarding and we need to ensure that staff know how to fast track complex and escalating cases</w:t>
                            </w:r>
                            <w:r w:rsidRPr="00EA407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6BDB94" w14:textId="7AD39A6C" w:rsidR="0008182E" w:rsidRDefault="0008182E" w:rsidP="00BD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D82363" w14:textId="55F05255" w:rsidR="0008182E" w:rsidRPr="00BD2954" w:rsidRDefault="0008182E" w:rsidP="00BD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DEE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3.95pt;margin-top:.25pt;width:422.45pt;height:1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" fillcolor="#ff61f6" strokeweight=".5pt">
                <v:fill opacity="12079f"/>
                <v:textbox>
                  <w:txbxContent>
                    <w:p w14:paraId="2AA35222" w14:textId="41E49A78" w:rsidR="00BD2954" w:rsidRDefault="00BD2954" w:rsidP="00BD295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Hoarding Hygiene and Gas Safety</w:t>
                      </w:r>
                    </w:p>
                    <w:p w14:paraId="7A06CF26" w14:textId="483F698C" w:rsidR="00BD2954" w:rsidRDefault="00BD2954" w:rsidP="00BD2954">
                      <w:pPr>
                        <w:rPr>
                          <w:sz w:val="20"/>
                          <w:szCs w:val="20"/>
                        </w:rPr>
                      </w:pPr>
                      <w:r w:rsidRPr="00BD295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 xml:space="preserve">developed a progressive hoarding disorder. Her accommodation was also reported by neighbours as verminous. Environmental services, her landlord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carry out a gas safety check) and </w:t>
                      </w:r>
                      <w:r w:rsidR="0008182E">
                        <w:rPr>
                          <w:sz w:val="20"/>
                          <w:szCs w:val="20"/>
                        </w:rPr>
                        <w:t>the fire brigade wanted to access A’s property at much the same time as Harrow Council wanted access to A to assess her capacity.</w:t>
                      </w:r>
                    </w:p>
                    <w:p w14:paraId="22F7CBE7" w14:textId="60ABDC8E" w:rsidR="0008182E" w:rsidRPr="00EA407D" w:rsidRDefault="0008182E" w:rsidP="00F74241">
                      <w:pPr>
                        <w:pStyle w:val="NoSpacing"/>
                      </w:pPr>
                    </w:p>
                    <w:p w14:paraId="3C391465" w14:textId="7ABA65C2" w:rsidR="0008182E" w:rsidRPr="00EA407D" w:rsidRDefault="0008182E" w:rsidP="00BD2954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There resulted a lack of clarity in how to act as a partnership. These are all difficult issues and more join up would have improved the response</w:t>
                      </w:r>
                      <w:r w:rsidR="00F74241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, including holding professional meetings to share information and agree a plan.</w:t>
                      </w:r>
                    </w:p>
                    <w:p w14:paraId="33173B76" w14:textId="1D50E547" w:rsidR="0008182E" w:rsidRPr="00EA407D" w:rsidRDefault="0008182E" w:rsidP="00BD2954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37897BE" w14:textId="56C0683D" w:rsidR="0008182E" w:rsidRPr="00EA407D" w:rsidRDefault="0008182E" w:rsidP="00BD2954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We need to better understand how to manage hoarding and we need to ensure that staff know how to fast track complex and escalating cases</w:t>
                      </w:r>
                      <w:r w:rsidRPr="00EA407D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2E6BDB94" w14:textId="7AD39A6C" w:rsidR="0008182E" w:rsidRDefault="0008182E" w:rsidP="00BD29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D82363" w14:textId="55F05255" w:rsidR="0008182E" w:rsidRPr="00BD2954" w:rsidRDefault="0008182E" w:rsidP="00BD29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D36A9" w14:textId="2A02F3F6" w:rsidR="00696E7E" w:rsidRDefault="00696E7E" w:rsidP="00696E7E">
      <w:pPr>
        <w:pStyle w:val="NoSpacing"/>
        <w:jc w:val="center"/>
        <w:rPr>
          <w:rFonts w:ascii="Arial" w:hAnsi="Arial" w:cs="Arial"/>
          <w:b/>
          <w:bCs/>
          <w:color w:val="FF0000"/>
        </w:rPr>
      </w:pPr>
    </w:p>
    <w:p w14:paraId="694AA220" w14:textId="13BBCF31" w:rsidR="00696E7E" w:rsidRDefault="00696E7E" w:rsidP="00696E7E">
      <w:pPr>
        <w:pStyle w:val="NoSpacing"/>
        <w:jc w:val="center"/>
        <w:rPr>
          <w:rFonts w:ascii="Arial" w:hAnsi="Arial" w:cs="Arial"/>
          <w:b/>
          <w:bCs/>
          <w:color w:val="FF0000"/>
        </w:rPr>
      </w:pPr>
    </w:p>
    <w:p w14:paraId="340A74F4" w14:textId="5342D197" w:rsidR="00696E7E" w:rsidRDefault="00BD2954" w:rsidP="00696E7E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</w:p>
    <w:p w14:paraId="6F4671C5" w14:textId="4F5EF264" w:rsidR="00696E7E" w:rsidRDefault="00696E7E" w:rsidP="00696E7E">
      <w:pPr>
        <w:pStyle w:val="NoSpacing"/>
        <w:rPr>
          <w:rFonts w:ascii="Arial" w:hAnsi="Arial" w:cs="Arial"/>
          <w:b/>
          <w:bCs/>
          <w:color w:val="FF0000"/>
        </w:rPr>
      </w:pPr>
    </w:p>
    <w:p w14:paraId="5E24CA09" w14:textId="02F85601" w:rsidR="003A587D" w:rsidRDefault="003A587D" w:rsidP="00696E7E">
      <w:pPr>
        <w:pStyle w:val="NoSpacing"/>
        <w:jc w:val="center"/>
      </w:pPr>
    </w:p>
    <w:p w14:paraId="55431FAB" w14:textId="4236ED13" w:rsidR="003A587D" w:rsidRDefault="003A587D" w:rsidP="00696E7E">
      <w:pPr>
        <w:pStyle w:val="NoSpacing"/>
        <w:jc w:val="center"/>
      </w:pPr>
    </w:p>
    <w:p w14:paraId="52B18D42" w14:textId="04FCA470" w:rsidR="003A587D" w:rsidRDefault="003A587D" w:rsidP="00696E7E">
      <w:pPr>
        <w:pStyle w:val="NoSpacing"/>
        <w:jc w:val="center"/>
      </w:pPr>
    </w:p>
    <w:p w14:paraId="07C40430" w14:textId="65FBF4CA" w:rsidR="003A587D" w:rsidRDefault="003A587D" w:rsidP="00696E7E">
      <w:pPr>
        <w:pStyle w:val="NoSpacing"/>
        <w:jc w:val="center"/>
      </w:pPr>
    </w:p>
    <w:p w14:paraId="31E61D21" w14:textId="7EF547A5" w:rsidR="003A587D" w:rsidRDefault="006F279B" w:rsidP="00696E7E">
      <w:pPr>
        <w:pStyle w:val="NoSpacing"/>
        <w:jc w:val="center"/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1A3D7" wp14:editId="21AEE882">
                <wp:simplePos x="0" y="0"/>
                <wp:positionH relativeFrom="column">
                  <wp:posOffset>-804333</wp:posOffset>
                </wp:positionH>
                <wp:positionV relativeFrom="paragraph">
                  <wp:posOffset>245322</wp:posOffset>
                </wp:positionV>
                <wp:extent cx="1312333" cy="3936788"/>
                <wp:effectExtent l="0" t="0" r="215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333" cy="39367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768DC" w14:textId="5577CD54" w:rsidR="00696E7E" w:rsidRPr="00696E7E" w:rsidRDefault="00696E7E" w:rsidP="00696E7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Elective Home </w:t>
                            </w:r>
                            <w:r w:rsidR="00DE09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96E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ducation</w:t>
                            </w:r>
                          </w:p>
                          <w:p w14:paraId="64D5CF72" w14:textId="77777777" w:rsidR="00696E7E" w:rsidRP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sz w:val="20"/>
                                <w:szCs w:val="20"/>
                              </w:rPr>
                              <w:t xml:space="preserve">There was a recorded safeguarding risk in relation to </w:t>
                            </w:r>
                            <w:r w:rsidRPr="00BD29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A’s</w:t>
                            </w:r>
                            <w:r w:rsidRPr="00696E7E">
                              <w:rPr>
                                <w:sz w:val="20"/>
                                <w:szCs w:val="20"/>
                              </w:rPr>
                              <w:t xml:space="preserve"> children when they were removed from school. </w:t>
                            </w:r>
                          </w:p>
                          <w:p w14:paraId="1720E43F" w14:textId="77777777" w:rsidR="00696E7E" w:rsidRP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A5413" w14:textId="1B333910" w:rsidR="00696E7E" w:rsidRPr="00EA407D" w:rsidRDefault="00696E7E" w:rsidP="00696E7E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 need to be better at assessing safeguarding risks to children electively home educated and particularly those who are removed from school when a risk is already known. </w:t>
                            </w:r>
                          </w:p>
                          <w:p w14:paraId="5500CFDD" w14:textId="77777777" w:rsidR="00696E7E" w:rsidRP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9E9CFD" w14:textId="44784521" w:rsidR="00696E7E" w:rsidRPr="00EA407D" w:rsidRDefault="00696E7E" w:rsidP="00696E7E">
                            <w:pPr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Staff need to be confident in escalating concerns</w:t>
                            </w: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053DE5" w14:textId="77777777" w:rsidR="00696E7E" w:rsidRDefault="00696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A3D7" id="Text Box 4" o:spid="_x0000_s1028" type="#_x0000_t202" style="position:absolute;left:0;text-align:left;margin-left:-63.35pt;margin-top:19.3pt;width:103.35pt;height:3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" fillcolor="#e2efd9 [665]" strokeweight=".5pt">
                <v:textbox>
                  <w:txbxContent>
                    <w:p w14:paraId="399768DC" w14:textId="5577CD54" w:rsidR="00696E7E" w:rsidRPr="00696E7E" w:rsidRDefault="00696E7E" w:rsidP="00696E7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6E7E">
                        <w:rPr>
                          <w:b/>
                          <w:bCs/>
                          <w:sz w:val="20"/>
                          <w:szCs w:val="20"/>
                        </w:rPr>
                        <w:t xml:space="preserve">Elective Home </w:t>
                      </w:r>
                      <w:r w:rsidR="00DE098E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696E7E">
                        <w:rPr>
                          <w:b/>
                          <w:bCs/>
                          <w:sz w:val="20"/>
                          <w:szCs w:val="20"/>
                        </w:rPr>
                        <w:t>ducation</w:t>
                      </w:r>
                    </w:p>
                    <w:p w14:paraId="64D5CF72" w14:textId="77777777" w:rsidR="00696E7E" w:rsidRP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  <w:r w:rsidRPr="00696E7E">
                        <w:rPr>
                          <w:sz w:val="20"/>
                          <w:szCs w:val="20"/>
                        </w:rPr>
                        <w:t xml:space="preserve">There was a recorded safeguarding risk in relation to </w:t>
                      </w:r>
                      <w:r w:rsidRPr="00BD2954">
                        <w:rPr>
                          <w:b/>
                          <w:bCs/>
                          <w:sz w:val="20"/>
                          <w:szCs w:val="20"/>
                        </w:rPr>
                        <w:t>A’s</w:t>
                      </w:r>
                      <w:r w:rsidRPr="00696E7E">
                        <w:rPr>
                          <w:sz w:val="20"/>
                          <w:szCs w:val="20"/>
                        </w:rPr>
                        <w:t xml:space="preserve"> children when they were removed from school. </w:t>
                      </w:r>
                    </w:p>
                    <w:p w14:paraId="1720E43F" w14:textId="77777777" w:rsidR="00696E7E" w:rsidRP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FA5413" w14:textId="1B333910" w:rsidR="00696E7E" w:rsidRPr="00EA407D" w:rsidRDefault="00696E7E" w:rsidP="00696E7E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 need to be better at assessing safeguarding risks to children electively home educated and particularly those who are removed from school when a risk is already known. </w:t>
                      </w:r>
                    </w:p>
                    <w:p w14:paraId="5500CFDD" w14:textId="77777777" w:rsidR="00696E7E" w:rsidRP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9E9CFD" w14:textId="44784521" w:rsidR="00696E7E" w:rsidRPr="00EA407D" w:rsidRDefault="00696E7E" w:rsidP="00696E7E">
                      <w:pPr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Staff need to be confident in escalating concerns</w:t>
                      </w:r>
                      <w:r w:rsidRPr="00EA407D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5053DE5" w14:textId="77777777" w:rsidR="00696E7E" w:rsidRDefault="00696E7E"/>
                  </w:txbxContent>
                </v:textbox>
              </v:shape>
            </w:pict>
          </mc:Fallback>
        </mc:AlternateContent>
      </w:r>
    </w:p>
    <w:p w14:paraId="47FF3495" w14:textId="13CF3074" w:rsidR="003A587D" w:rsidRDefault="006F279B" w:rsidP="00696E7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5E8EA" wp14:editId="51933236">
                <wp:simplePos x="0" y="0"/>
                <wp:positionH relativeFrom="column">
                  <wp:posOffset>2061633</wp:posOffset>
                </wp:positionH>
                <wp:positionV relativeFrom="paragraph">
                  <wp:posOffset>61807</wp:posOffset>
                </wp:positionV>
                <wp:extent cx="1976755" cy="3944831"/>
                <wp:effectExtent l="0" t="0" r="2349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39448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44056" w14:textId="77777777" w:rsidR="00BD2954" w:rsidRDefault="00BD2954" w:rsidP="00BD29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58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Perplexing Presentations</w:t>
                            </w:r>
                          </w:p>
                          <w:p w14:paraId="23850939" w14:textId="0556D8C2" w:rsidR="00BD2954" w:rsidRDefault="00BD2954" w:rsidP="00BD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29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her children had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perplexing medical presentations. A claimed to have 68 medical conditions and her daughter B claimed to have 60. Her other daughter C also had many medical issues.  Dealing with </w:t>
                            </w:r>
                            <w:r w:rsidR="008F0F2B">
                              <w:rPr>
                                <w:sz w:val="20"/>
                                <w:szCs w:val="20"/>
                              </w:rPr>
                              <w:t>potential 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ctitious and Induced illness is very complicated and while this issue was considered by professionals dealing with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 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 and C it was not fully investigated. </w:t>
                            </w:r>
                          </w:p>
                          <w:p w14:paraId="41BF8B5A" w14:textId="77777777" w:rsidR="00BD2954" w:rsidRDefault="00BD2954" w:rsidP="00BD2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51C5A6" w14:textId="6F7B6DB5" w:rsidR="00BD2954" w:rsidRPr="00EA407D" w:rsidRDefault="00BD2954" w:rsidP="00BD2954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We need to ensure that professionals know and understand the Royal Colleges Pathway</w:t>
                            </w:r>
                            <w:r w:rsidR="00FB799E"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for perplexing presentations</w:t>
                            </w:r>
                            <w:r w:rsid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and </w:t>
                            </w:r>
                          </w:p>
                          <w:p w14:paraId="181855DC" w14:textId="77777777" w:rsidR="00BD2954" w:rsidRPr="00EA407D" w:rsidRDefault="00BD2954" w:rsidP="00BD2954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8A2A9C4" w14:textId="3E41C457" w:rsidR="00BD2954" w:rsidRPr="00EA407D" w:rsidRDefault="00FB799E" w:rsidP="00BD2954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BD2954"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need to review </w:t>
                            </w: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our</w:t>
                            </w:r>
                            <w:r w:rsidR="00BD2954"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procedures to ensure that they are clear and work for staff dealing with this </w:t>
                            </w:r>
                            <w:r w:rsidR="00BD2954" w:rsidRPr="00B65ADE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issue</w:t>
                            </w:r>
                            <w:r w:rsidR="006F279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BD2954" w:rsidRPr="00B65ADE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B4DB8D" w14:textId="77777777" w:rsidR="00BD2954" w:rsidRDefault="00BD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E8EA" id="Text Box 3" o:spid="_x0000_s1029" type="#_x0000_t202" style="position:absolute;left:0;text-align:left;margin-left:162.35pt;margin-top:4.85pt;width:155.65pt;height:3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" fillcolor="#f2f2f2 [3052]" strokeweight=".5pt">
                <v:textbox>
                  <w:txbxContent>
                    <w:p w14:paraId="64E44056" w14:textId="77777777" w:rsidR="00BD2954" w:rsidRDefault="00BD2954" w:rsidP="00BD295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A587D">
                        <w:rPr>
                          <w:b/>
                          <w:bCs/>
                          <w:sz w:val="20"/>
                          <w:szCs w:val="20"/>
                        </w:rPr>
                        <w:t>Perplexing Presentations</w:t>
                      </w:r>
                    </w:p>
                    <w:p w14:paraId="23850939" w14:textId="0556D8C2" w:rsidR="00BD2954" w:rsidRDefault="00BD2954" w:rsidP="00BD2954">
                      <w:pPr>
                        <w:rPr>
                          <w:sz w:val="20"/>
                          <w:szCs w:val="20"/>
                        </w:rPr>
                      </w:pPr>
                      <w:r w:rsidRPr="00BD2954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and her children had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perplexing medical presentations. A claimed to have 68 medical conditions and her daughter B claimed to have 60. Her other daughter C also had many medical issues.  Dealing with </w:t>
                      </w:r>
                      <w:r w:rsidR="008F0F2B">
                        <w:rPr>
                          <w:sz w:val="20"/>
                          <w:szCs w:val="20"/>
                        </w:rPr>
                        <w:t>potential Fi</w:t>
                      </w:r>
                      <w:r>
                        <w:rPr>
                          <w:sz w:val="20"/>
                          <w:szCs w:val="20"/>
                        </w:rPr>
                        <w:t xml:space="preserve">ctitious and Induced illness is very complicated and while this issue was considered by professionals dealing with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 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 and C it was not fully investigated. </w:t>
                      </w:r>
                    </w:p>
                    <w:p w14:paraId="41BF8B5A" w14:textId="77777777" w:rsidR="00BD2954" w:rsidRDefault="00BD2954" w:rsidP="00BD29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51C5A6" w14:textId="6F7B6DB5" w:rsidR="00BD2954" w:rsidRPr="00EA407D" w:rsidRDefault="00BD2954" w:rsidP="00BD2954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We need to ensure that professionals know and understand the Royal Colleges Pathway</w:t>
                      </w:r>
                      <w:r w:rsidR="00FB799E"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for perplexing presentations</w:t>
                      </w:r>
                      <w:r w:rsid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-</w:t>
                      </w: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and </w:t>
                      </w:r>
                    </w:p>
                    <w:p w14:paraId="181855DC" w14:textId="77777777" w:rsidR="00BD2954" w:rsidRPr="00EA407D" w:rsidRDefault="00BD2954" w:rsidP="00BD2954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8A2A9C4" w14:textId="3E41C457" w:rsidR="00BD2954" w:rsidRPr="00EA407D" w:rsidRDefault="00FB799E" w:rsidP="00BD2954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 </w:t>
                      </w:r>
                      <w:r w:rsidR="00BD2954"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need to review </w:t>
                      </w: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our</w:t>
                      </w:r>
                      <w:r w:rsidR="00BD2954"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procedures to ensure that they are clear and work for staff dealing with this </w:t>
                      </w:r>
                      <w:r w:rsidR="00BD2954" w:rsidRPr="00B65ADE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issue</w:t>
                      </w:r>
                      <w:r w:rsidR="006F279B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BD2954" w:rsidRPr="00B65ADE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B4DB8D" w14:textId="77777777" w:rsidR="00BD2954" w:rsidRDefault="00BD29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711DC" wp14:editId="14105433">
                <wp:simplePos x="0" y="0"/>
                <wp:positionH relativeFrom="column">
                  <wp:posOffset>512233</wp:posOffset>
                </wp:positionH>
                <wp:positionV relativeFrom="paragraph">
                  <wp:posOffset>78740</wp:posOffset>
                </wp:positionV>
                <wp:extent cx="1557867" cy="3945467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7" cy="39454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9BB88" w14:textId="6E52D63C" w:rsidR="00696E7E" w:rsidRPr="00696E7E" w:rsidRDefault="00696E7E" w:rsidP="00696E7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 Carers</w:t>
                            </w:r>
                          </w:p>
                          <w:p w14:paraId="2A8200E4" w14:textId="04563C47" w:rsidR="00696E7E" w:rsidRP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29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A’s</w:t>
                            </w:r>
                            <w:r w:rsidRPr="00696E7E">
                              <w:rPr>
                                <w:sz w:val="20"/>
                                <w:szCs w:val="20"/>
                              </w:rPr>
                              <w:t xml:space="preserve"> children were identified as having young carer responsibilities. But they were not assessed, because they refused to see a social worker (even though one of them was just 7.) </w:t>
                            </w:r>
                          </w:p>
                          <w:p w14:paraId="4ACEC061" w14:textId="77777777" w:rsidR="00696E7E" w:rsidRP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1A691" w14:textId="08986905" w:rsid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6E7E">
                              <w:rPr>
                                <w:sz w:val="20"/>
                                <w:szCs w:val="20"/>
                              </w:rPr>
                              <w:t xml:space="preserve">We need to work with Harrow Carers to better understand the real numbers of young carers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96E7E">
                              <w:rPr>
                                <w:sz w:val="20"/>
                                <w:szCs w:val="20"/>
                              </w:rPr>
                              <w:t>arrow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01A75A" w14:textId="0C7E0CED" w:rsidR="00696E7E" w:rsidRDefault="00696E7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C2A2C8" w14:textId="6E883D7F" w:rsidR="00696E7E" w:rsidRPr="00EA407D" w:rsidRDefault="00DE098E" w:rsidP="00696E7E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It is important that young carers’ assessments are conducted by children and adult services.</w:t>
                            </w:r>
                          </w:p>
                          <w:p w14:paraId="7BAC232D" w14:textId="15CE60DF" w:rsidR="00DE098E" w:rsidRPr="00F74241" w:rsidRDefault="00DE098E" w:rsidP="00696E7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6717AA" w14:textId="39D36FB7" w:rsidR="00DE098E" w:rsidRPr="00F74241" w:rsidRDefault="00DE098E" w:rsidP="00696E7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4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BD2954" w:rsidRPr="00F74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74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audit these assessment</w:t>
                            </w:r>
                            <w:r w:rsidR="00507C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F74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establish how effective they are now.</w:t>
                            </w:r>
                          </w:p>
                          <w:p w14:paraId="7D96C8DF" w14:textId="198D44CB" w:rsidR="00DE098E" w:rsidRDefault="00DE098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94EC19" w14:textId="77777777" w:rsidR="00DE098E" w:rsidRPr="00696E7E" w:rsidRDefault="00DE098E" w:rsidP="00696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11DC" id="Text Box 5" o:spid="_x0000_s1030" type="#_x0000_t202" style="position:absolute;left:0;text-align:left;margin-left:40.35pt;margin-top:6.2pt;width:122.65pt;height:3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" fillcolor="#d5dce4 [671]" strokeweight=".5pt">
                <v:textbox>
                  <w:txbxContent>
                    <w:p w14:paraId="1A19BB88" w14:textId="6E52D63C" w:rsidR="00696E7E" w:rsidRPr="00696E7E" w:rsidRDefault="00696E7E" w:rsidP="00696E7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6E7E">
                        <w:rPr>
                          <w:b/>
                          <w:bCs/>
                          <w:sz w:val="20"/>
                          <w:szCs w:val="20"/>
                        </w:rPr>
                        <w:t>Young Carers</w:t>
                      </w:r>
                    </w:p>
                    <w:p w14:paraId="2A8200E4" w14:textId="04563C47" w:rsidR="00696E7E" w:rsidRP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  <w:r w:rsidRPr="00BD2954">
                        <w:rPr>
                          <w:b/>
                          <w:bCs/>
                          <w:sz w:val="20"/>
                          <w:szCs w:val="20"/>
                        </w:rPr>
                        <w:t>A’s</w:t>
                      </w:r>
                      <w:r w:rsidRPr="00696E7E">
                        <w:rPr>
                          <w:sz w:val="20"/>
                          <w:szCs w:val="20"/>
                        </w:rPr>
                        <w:t xml:space="preserve"> children were identified as having young carer responsibilities. But they were not assessed, because they refused to see a social worker (even though one of them was just 7.) </w:t>
                      </w:r>
                    </w:p>
                    <w:p w14:paraId="4ACEC061" w14:textId="77777777" w:rsidR="00696E7E" w:rsidRP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F1A691" w14:textId="08986905" w:rsid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  <w:r w:rsidRPr="00696E7E">
                        <w:rPr>
                          <w:sz w:val="20"/>
                          <w:szCs w:val="20"/>
                        </w:rPr>
                        <w:t xml:space="preserve">We need to work with Harrow Carers to better understand the real numbers of young carers in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696E7E">
                        <w:rPr>
                          <w:sz w:val="20"/>
                          <w:szCs w:val="20"/>
                        </w:rPr>
                        <w:t>arrow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01A75A" w14:textId="0C7E0CED" w:rsidR="00696E7E" w:rsidRDefault="00696E7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C2A2C8" w14:textId="6E883D7F" w:rsidR="00696E7E" w:rsidRPr="00EA407D" w:rsidRDefault="00DE098E" w:rsidP="00696E7E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It is important that young carers’ assessments are conducted by children and adult services.</w:t>
                      </w:r>
                    </w:p>
                    <w:p w14:paraId="7BAC232D" w14:textId="15CE60DF" w:rsidR="00DE098E" w:rsidRPr="00F74241" w:rsidRDefault="00DE098E" w:rsidP="00696E7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6717AA" w14:textId="39D36FB7" w:rsidR="00DE098E" w:rsidRPr="00F74241" w:rsidRDefault="00DE098E" w:rsidP="00696E7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4241">
                        <w:rPr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BD2954" w:rsidRPr="00F74241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F74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will audit these assessment</w:t>
                      </w:r>
                      <w:r w:rsidR="00507CC4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F74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establish how effective they are now.</w:t>
                      </w:r>
                    </w:p>
                    <w:p w14:paraId="7D96C8DF" w14:textId="198D44CB" w:rsidR="00DE098E" w:rsidRDefault="00DE098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94EC19" w14:textId="77777777" w:rsidR="00DE098E" w:rsidRPr="00696E7E" w:rsidRDefault="00DE098E" w:rsidP="00696E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91C4B" w14:textId="50C6807D" w:rsidR="003A587D" w:rsidRDefault="006F279B" w:rsidP="00696E7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FD185" wp14:editId="6419B6A2">
                <wp:simplePos x="0" y="0"/>
                <wp:positionH relativeFrom="column">
                  <wp:posOffset>4080933</wp:posOffset>
                </wp:positionH>
                <wp:positionV relativeFrom="paragraph">
                  <wp:posOffset>145627</wp:posOffset>
                </wp:positionV>
                <wp:extent cx="1676400" cy="1049866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498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FDC79" w14:textId="7B1E4E46" w:rsidR="009223AB" w:rsidRDefault="009223AB" w:rsidP="009223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C8FE" wp14:editId="0329A4D9">
                                  <wp:extent cx="1311910" cy="1087967"/>
                                  <wp:effectExtent l="0" t="0" r="2540" b="0"/>
                                  <wp:docPr id="13" name="Picture 13" descr="Download free photo of Post,wood,keep out,road,board - from needpix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wnload free photo of Post,wood,keep out,road,board - from needpix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1" cy="10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D185" id="Rectangle 2" o:spid="_x0000_s1031" style="position:absolute;left:0;text-align:left;margin-left:321.35pt;margin-top:11.45pt;width:132pt;height:8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" fillcolor="#d5dce4 [671]" strokecolor="#1f3763 [1604]" strokeweight="1pt">
                <v:textbox>
                  <w:txbxContent>
                    <w:p w14:paraId="600FDC79" w14:textId="7B1E4E46" w:rsidR="009223AB" w:rsidRDefault="009223AB" w:rsidP="009223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DC8FE" wp14:editId="0329A4D9">
                            <wp:extent cx="1311910" cy="1087967"/>
                            <wp:effectExtent l="0" t="0" r="2540" b="0"/>
                            <wp:docPr id="13" name="Picture 13" descr="Download free photo of Post,wood,keep out,road,board - from needpix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wnload free photo of Post,wood,keep out,road,board - from needpix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1" cy="10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4070A" wp14:editId="271E5B73">
                <wp:simplePos x="0" y="0"/>
                <wp:positionH relativeFrom="column">
                  <wp:posOffset>5833533</wp:posOffset>
                </wp:positionH>
                <wp:positionV relativeFrom="paragraph">
                  <wp:posOffset>149860</wp:posOffset>
                </wp:positionV>
                <wp:extent cx="3779309" cy="1054100"/>
                <wp:effectExtent l="0" t="0" r="120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309" cy="1054100"/>
                        </a:xfrm>
                        <a:prstGeom prst="rect">
                          <a:avLst/>
                        </a:prstGeom>
                        <a:solidFill>
                          <a:srgbClr val="FF1F15">
                            <a:alpha val="31373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21D49" w14:textId="237D9C7A" w:rsidR="00FB799E" w:rsidRDefault="00FB799E" w:rsidP="00FB79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Resistant Service Users</w:t>
                            </w:r>
                          </w:p>
                          <w:p w14:paraId="24E8ADB8" w14:textId="20898310" w:rsidR="00D1551E" w:rsidRDefault="00D1551E" w:rsidP="00D15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as a resistant service user posed problems for frontline workers wanting to respect her right to self-determination while wanting to safeguard her from the harm she was exposing herself to.</w:t>
                            </w:r>
                          </w:p>
                          <w:p w14:paraId="6EF19A4F" w14:textId="3F5B3029" w:rsidR="00D1551E" w:rsidRPr="00EA407D" w:rsidRDefault="00D1551E" w:rsidP="00D1551E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407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In such cases we must ensure decisions are multi agency and that staff receive good senior staff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070A" id="Text Box 8" o:spid="_x0000_s1032" type="#_x0000_t202" style="position:absolute;left:0;text-align:left;margin-left:459.35pt;margin-top:11.8pt;width:297.6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" fillcolor="#ff1f15" strokeweight=".5pt">
                <v:fill opacity="20560f"/>
                <v:textbox>
                  <w:txbxContent>
                    <w:p w14:paraId="60121D49" w14:textId="237D9C7A" w:rsidR="00FB799E" w:rsidRDefault="00FB799E" w:rsidP="00FB799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799E">
                        <w:rPr>
                          <w:b/>
                          <w:bCs/>
                          <w:sz w:val="20"/>
                          <w:szCs w:val="20"/>
                        </w:rPr>
                        <w:t>Resistant Service Users</w:t>
                      </w:r>
                    </w:p>
                    <w:p w14:paraId="24E8ADB8" w14:textId="20898310" w:rsidR="00D1551E" w:rsidRDefault="00D1551E" w:rsidP="00D155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as a resistant service user posed problems for frontline workers wanting to respect her right to self-determination while wanting to safeguard her from the harm she was exposing herself to.</w:t>
                      </w:r>
                    </w:p>
                    <w:p w14:paraId="6EF19A4F" w14:textId="3F5B3029" w:rsidR="00D1551E" w:rsidRPr="00EA407D" w:rsidRDefault="00D1551E" w:rsidP="00D1551E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407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In such cases we must ensure decisions are multi agency and that staff receive good senior staff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F72CCDF" w14:textId="0EDCB89D" w:rsidR="0023749E" w:rsidRDefault="006F279B" w:rsidP="003A58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D0F22" wp14:editId="419E1ADD">
                <wp:simplePos x="0" y="0"/>
                <wp:positionH relativeFrom="column">
                  <wp:posOffset>4072467</wp:posOffset>
                </wp:positionH>
                <wp:positionV relativeFrom="paragraph">
                  <wp:posOffset>1067012</wp:posOffset>
                </wp:positionV>
                <wp:extent cx="5583555" cy="2551853"/>
                <wp:effectExtent l="0" t="0" r="1714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551853"/>
                        </a:xfrm>
                        <a:prstGeom prst="rect">
                          <a:avLst/>
                        </a:prstGeom>
                        <a:solidFill>
                          <a:srgbClr val="4354FF">
                            <a:alpha val="13333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60A1" w14:textId="0362D3A4" w:rsidR="0008182E" w:rsidRPr="0008182E" w:rsidRDefault="0008182E" w:rsidP="000818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18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Safeguarding Response</w:t>
                            </w:r>
                          </w:p>
                          <w:p w14:paraId="015DF1A8" w14:textId="1812D4DC" w:rsidR="0008182E" w:rsidRDefault="0008182E" w:rsidP="00081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A’s</w:t>
                            </w:r>
                            <w:r w:rsidRPr="0008182E">
                              <w:rPr>
                                <w:sz w:val="20"/>
                                <w:szCs w:val="20"/>
                              </w:rPr>
                              <w:t xml:space="preserve"> case generated </w:t>
                            </w:r>
                            <w:r w:rsidR="00FB799E">
                              <w:rPr>
                                <w:sz w:val="20"/>
                                <w:szCs w:val="20"/>
                              </w:rPr>
                              <w:t xml:space="preserve">significant </w:t>
                            </w:r>
                            <w:r w:rsidRPr="0008182E">
                              <w:rPr>
                                <w:sz w:val="20"/>
                                <w:szCs w:val="20"/>
                              </w:rPr>
                              <w:t>activity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Quite a lot of it failed to reach a proper conclusion.  </w:t>
                            </w:r>
                            <w:r w:rsidR="004A364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649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 mental health assessment </w:t>
                            </w:r>
                            <w:r w:rsidR="004A3649">
                              <w:rPr>
                                <w:sz w:val="20"/>
                                <w:szCs w:val="20"/>
                              </w:rPr>
                              <w:t>was not robustly pursued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Requests to other agencies for social workers to accompany them when they enforced court orders, although potentially a helpful idea</w:t>
                            </w:r>
                            <w:r w:rsidR="00FB799E">
                              <w:rPr>
                                <w:sz w:val="20"/>
                                <w:szCs w:val="20"/>
                              </w:rPr>
                              <w:t>, did not result in an effective joint visit. The safeguarding case</w:t>
                            </w:r>
                            <w:r w:rsidR="00B80D0E">
                              <w:rPr>
                                <w:sz w:val="20"/>
                                <w:szCs w:val="20"/>
                              </w:rPr>
                              <w:t xml:space="preserve"> appeared to have been</w:t>
                            </w:r>
                            <w:r w:rsidR="00FB799E">
                              <w:rPr>
                                <w:sz w:val="20"/>
                                <w:szCs w:val="20"/>
                              </w:rPr>
                              <w:t xml:space="preserve"> closed too early and against the wishes of operational staff.</w:t>
                            </w:r>
                          </w:p>
                          <w:p w14:paraId="2D389A97" w14:textId="77777777" w:rsidR="00B65ADE" w:rsidRDefault="00B65ADE" w:rsidP="00081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F2C17" w14:textId="6FB958CF" w:rsidR="004A3649" w:rsidRPr="006F279B" w:rsidRDefault="00FB799E" w:rsidP="004A3649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6F279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Since these events the Mental Health Trust has changed the way it logs requests for assistance. The Council has updated its hoarding and self- neglect policy</w:t>
                            </w:r>
                            <w:r w:rsidR="004A3649" w:rsidRPr="006F279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. Professionals should be clear about the legal powers that may be used and apply these after multi-agency discussion on </w:t>
                            </w:r>
                            <w:proofErr w:type="spellStart"/>
                            <w:r w:rsidR="004A3649" w:rsidRPr="006F279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wht</w:t>
                            </w:r>
                            <w:proofErr w:type="spellEnd"/>
                            <w:r w:rsidR="004A3649" w:rsidRPr="006F279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bests suits the circumstances.</w:t>
                            </w:r>
                            <w:bookmarkStart w:id="0" w:name="_GoBack"/>
                            <w:bookmarkEnd w:id="0"/>
                          </w:p>
                          <w:p w14:paraId="5FE815D5" w14:textId="6DDB542E" w:rsidR="00FB799E" w:rsidRDefault="00FB799E" w:rsidP="00081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A0EB28" w14:textId="7A7D9532" w:rsidR="00FB799E" w:rsidRPr="0008182E" w:rsidRDefault="00FB799E" w:rsidP="00081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7CC4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 now need to check on the effectiveness of these changes, </w:t>
                            </w:r>
                            <w:r w:rsidRPr="00B65ADE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ensure that staff who wish to escalate concerns know how to do so and we need to ensure that we have a shared and effective understanding of how social workers and other agencies can work together to gain entry to premises for assessment purposes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0F22" id="Text Box 7" o:spid="_x0000_s1033" type="#_x0000_t202" style="position:absolute;margin-left:320.65pt;margin-top:84pt;width:439.65pt;height:2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" fillcolor="#4354ff" strokeweight=".5pt">
                <v:fill opacity="8738f"/>
                <v:textbox>
                  <w:txbxContent>
                    <w:p w14:paraId="5E6F60A1" w14:textId="0362D3A4" w:rsidR="0008182E" w:rsidRPr="0008182E" w:rsidRDefault="0008182E" w:rsidP="000818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182E">
                        <w:rPr>
                          <w:b/>
                          <w:bCs/>
                          <w:sz w:val="20"/>
                          <w:szCs w:val="20"/>
                        </w:rPr>
                        <w:t>The Safeguarding Response</w:t>
                      </w:r>
                    </w:p>
                    <w:p w14:paraId="015DF1A8" w14:textId="1812D4DC" w:rsidR="0008182E" w:rsidRDefault="0008182E" w:rsidP="0008182E">
                      <w:pPr>
                        <w:rPr>
                          <w:sz w:val="20"/>
                          <w:szCs w:val="20"/>
                        </w:rPr>
                      </w:pPr>
                      <w:r w:rsidRPr="00FB799E">
                        <w:rPr>
                          <w:b/>
                          <w:bCs/>
                          <w:sz w:val="20"/>
                          <w:szCs w:val="20"/>
                        </w:rPr>
                        <w:t>A’s</w:t>
                      </w:r>
                      <w:r w:rsidRPr="0008182E">
                        <w:rPr>
                          <w:sz w:val="20"/>
                          <w:szCs w:val="20"/>
                        </w:rPr>
                        <w:t xml:space="preserve"> case generated </w:t>
                      </w:r>
                      <w:r w:rsidR="00FB799E">
                        <w:rPr>
                          <w:sz w:val="20"/>
                          <w:szCs w:val="20"/>
                        </w:rPr>
                        <w:t xml:space="preserve">significant </w:t>
                      </w:r>
                      <w:r w:rsidRPr="0008182E">
                        <w:rPr>
                          <w:sz w:val="20"/>
                          <w:szCs w:val="20"/>
                        </w:rPr>
                        <w:t>activity</w:t>
                      </w:r>
                      <w:r>
                        <w:rPr>
                          <w:sz w:val="20"/>
                          <w:szCs w:val="20"/>
                        </w:rPr>
                        <w:t xml:space="preserve">. Quite a lot of it failed to reach a proper conclusion.  </w:t>
                      </w:r>
                      <w:r w:rsidR="004A3649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3649">
                        <w:rPr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sz w:val="20"/>
                          <w:szCs w:val="20"/>
                        </w:rPr>
                        <w:t xml:space="preserve"> for a mental health assessment </w:t>
                      </w:r>
                      <w:r w:rsidR="004A3649">
                        <w:rPr>
                          <w:sz w:val="20"/>
                          <w:szCs w:val="20"/>
                        </w:rPr>
                        <w:t>was not robustly pursued</w:t>
                      </w:r>
                      <w:r>
                        <w:rPr>
                          <w:sz w:val="20"/>
                          <w:szCs w:val="20"/>
                        </w:rPr>
                        <w:t>. Requests to other agencies for social workers to accompany them when they enforced court orders, although potentially a helpful idea</w:t>
                      </w:r>
                      <w:r w:rsidR="00FB799E">
                        <w:rPr>
                          <w:sz w:val="20"/>
                          <w:szCs w:val="20"/>
                        </w:rPr>
                        <w:t>, did not result in an effective joint visit. The safeguarding case</w:t>
                      </w:r>
                      <w:r w:rsidR="00B80D0E">
                        <w:rPr>
                          <w:sz w:val="20"/>
                          <w:szCs w:val="20"/>
                        </w:rPr>
                        <w:t xml:space="preserve"> appeared to have been</w:t>
                      </w:r>
                      <w:r w:rsidR="00FB799E">
                        <w:rPr>
                          <w:sz w:val="20"/>
                          <w:szCs w:val="20"/>
                        </w:rPr>
                        <w:t xml:space="preserve"> closed too early and against the wishes of operational staff.</w:t>
                      </w:r>
                    </w:p>
                    <w:p w14:paraId="2D389A97" w14:textId="77777777" w:rsidR="00B65ADE" w:rsidRDefault="00B65ADE" w:rsidP="000818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CF2C17" w14:textId="6FB958CF" w:rsidR="004A3649" w:rsidRPr="006F279B" w:rsidRDefault="00FB799E" w:rsidP="004A3649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6F279B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Since these events the Mental Health Trust has changed the way it logs requests for assistance. The Council has updated its hoarding and self- neglect policy</w:t>
                      </w:r>
                      <w:r w:rsidR="004A3649" w:rsidRPr="006F279B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. Professionals should be clear about the legal powers that may be used and apply these after multi-agency discussion on </w:t>
                      </w:r>
                      <w:proofErr w:type="spellStart"/>
                      <w:r w:rsidR="004A3649" w:rsidRPr="006F279B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wht</w:t>
                      </w:r>
                      <w:proofErr w:type="spellEnd"/>
                      <w:r w:rsidR="004A3649" w:rsidRPr="006F279B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bests suits the circumstances.</w:t>
                      </w:r>
                      <w:bookmarkStart w:id="1" w:name="_GoBack"/>
                      <w:bookmarkEnd w:id="1"/>
                    </w:p>
                    <w:p w14:paraId="5FE815D5" w14:textId="6DDB542E" w:rsidR="00FB799E" w:rsidRDefault="00FB799E" w:rsidP="000818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A0EB28" w14:textId="7A7D9532" w:rsidR="00FB799E" w:rsidRPr="0008182E" w:rsidRDefault="00FB799E" w:rsidP="0008182E">
                      <w:pPr>
                        <w:rPr>
                          <w:sz w:val="20"/>
                          <w:szCs w:val="20"/>
                        </w:rPr>
                      </w:pPr>
                      <w:r w:rsidRPr="00507CC4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 now need to check on the effectiveness of these changes, </w:t>
                      </w:r>
                      <w:r w:rsidRPr="00B65ADE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ensure that staff who wish to escalate concerns know how to do so and we need to ensure that we have a shared and effective understanding of how social workers and other agencies can work together to gain entry to premises for assessment purposes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49E" w:rsidSect="00237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59C4"/>
    <w:multiLevelType w:val="hybridMultilevel"/>
    <w:tmpl w:val="E13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E"/>
    <w:rsid w:val="0008182E"/>
    <w:rsid w:val="00183DB7"/>
    <w:rsid w:val="001E2A7A"/>
    <w:rsid w:val="002356D6"/>
    <w:rsid w:val="0023749E"/>
    <w:rsid w:val="002B79ED"/>
    <w:rsid w:val="003A587D"/>
    <w:rsid w:val="004A3649"/>
    <w:rsid w:val="00507CC4"/>
    <w:rsid w:val="00696E7E"/>
    <w:rsid w:val="006F279B"/>
    <w:rsid w:val="007B1C7F"/>
    <w:rsid w:val="00861E09"/>
    <w:rsid w:val="0088009C"/>
    <w:rsid w:val="008F0F2B"/>
    <w:rsid w:val="0090673E"/>
    <w:rsid w:val="009223AB"/>
    <w:rsid w:val="00A77467"/>
    <w:rsid w:val="00B65ADE"/>
    <w:rsid w:val="00B65C38"/>
    <w:rsid w:val="00B80D0E"/>
    <w:rsid w:val="00BD2954"/>
    <w:rsid w:val="00CC2040"/>
    <w:rsid w:val="00D1551E"/>
    <w:rsid w:val="00DE098E"/>
    <w:rsid w:val="00EA407D"/>
    <w:rsid w:val="00F74241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43EC"/>
  <w15:chartTrackingRefBased/>
  <w15:docId w15:val="{B8B77210-BE42-454D-925A-4F88F9A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696E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Coral McGookin</cp:lastModifiedBy>
  <cp:revision>8</cp:revision>
  <dcterms:created xsi:type="dcterms:W3CDTF">2021-07-27T07:58:00Z</dcterms:created>
  <dcterms:modified xsi:type="dcterms:W3CDTF">2021-08-04T08:45:00Z</dcterms:modified>
</cp:coreProperties>
</file>